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D1" w:rsidRDefault="00DA09D1" w:rsidP="00DA09D1">
      <w:pPr>
        <w:pStyle w:val="Heading1"/>
      </w:pPr>
      <w:r>
        <w:t>Standard Operating Procedure Title</w:t>
      </w:r>
    </w:p>
    <w:p w:rsidR="00DA09D1" w:rsidRDefault="00DA09D1" w:rsidP="00DA09D1">
      <w:pPr>
        <w:rPr>
          <w:rFonts w:ascii="Verdana" w:hAnsi="Verdana"/>
        </w:rPr>
      </w:pPr>
    </w:p>
    <w:p w:rsidR="00DA09D1" w:rsidRDefault="00DA09D1" w:rsidP="00DA09D1">
      <w:pPr>
        <w:pStyle w:val="Heading2"/>
        <w:numPr>
          <w:ilvl w:val="0"/>
          <w:numId w:val="0"/>
        </w:numPr>
        <w:ind w:left="709"/>
      </w:pPr>
      <w:r>
        <w:t>1.</w:t>
      </w:r>
      <w:r>
        <w:tab/>
        <w:t>Purpose</w:t>
      </w:r>
    </w:p>
    <w:p w:rsidR="00DA09D1" w:rsidRDefault="00DA09D1" w:rsidP="00DA09D1">
      <w:pPr>
        <w:rPr>
          <w:rFonts w:ascii="Verdana" w:hAnsi="Verdana"/>
        </w:rPr>
      </w:pPr>
      <w:r>
        <w:rPr>
          <w:rFonts w:ascii="Verdana" w:hAnsi="Verdana"/>
        </w:rPr>
        <w:t xml:space="preserve">Describe the process for &lt;official name of SOP&gt;. </w:t>
      </w:r>
    </w:p>
    <w:p w:rsidR="00DA09D1" w:rsidRDefault="00DA09D1" w:rsidP="00DA09D1">
      <w:pPr>
        <w:rPr>
          <w:rFonts w:ascii="Verdana" w:hAnsi="Verdana"/>
        </w:rPr>
      </w:pPr>
    </w:p>
    <w:p w:rsidR="00DA09D1" w:rsidRDefault="00DA09D1" w:rsidP="00DA09D1">
      <w:pPr>
        <w:rPr>
          <w:rFonts w:ascii="Verdana" w:hAnsi="Verdana"/>
        </w:rPr>
      </w:pPr>
      <w:r>
        <w:rPr>
          <w:rFonts w:ascii="Verdana" w:hAnsi="Verdana"/>
        </w:rPr>
        <w:t xml:space="preserve">Describe relevant background information. </w:t>
      </w:r>
    </w:p>
    <w:p w:rsidR="00DA09D1" w:rsidRDefault="00DA09D1" w:rsidP="00DA09D1">
      <w:pPr>
        <w:rPr>
          <w:rFonts w:ascii="Verdana" w:hAnsi="Verdana"/>
        </w:rPr>
      </w:pPr>
    </w:p>
    <w:p w:rsidR="00DA09D1" w:rsidRDefault="00DA09D1" w:rsidP="00DA09D1">
      <w:pPr>
        <w:pStyle w:val="Heading2"/>
        <w:numPr>
          <w:ilvl w:val="0"/>
          <w:numId w:val="0"/>
        </w:numPr>
        <w:ind w:left="709"/>
      </w:pPr>
      <w:r>
        <w:t>2.</w:t>
      </w:r>
      <w:r>
        <w:tab/>
        <w:t>Scope</w:t>
      </w:r>
    </w:p>
    <w:p w:rsidR="00DA09D1" w:rsidRDefault="00DA09D1" w:rsidP="00DA09D1">
      <w:pPr>
        <w:rPr>
          <w:rFonts w:ascii="Verdana" w:hAnsi="Verdana"/>
        </w:rPr>
      </w:pPr>
      <w:r>
        <w:rPr>
          <w:rFonts w:ascii="Verdana" w:hAnsi="Verdana"/>
        </w:rPr>
        <w:t>Identify the intended audience and /or activities where the SOP may be relevant.</w:t>
      </w:r>
    </w:p>
    <w:p w:rsidR="00DA09D1" w:rsidRDefault="00DA09D1" w:rsidP="00DA09D1">
      <w:pPr>
        <w:rPr>
          <w:rFonts w:ascii="Verdana" w:hAnsi="Verdana"/>
        </w:rPr>
      </w:pPr>
    </w:p>
    <w:p w:rsidR="00DA09D1" w:rsidRDefault="00DA09D1" w:rsidP="00DA09D1">
      <w:pPr>
        <w:pStyle w:val="Heading2"/>
        <w:numPr>
          <w:ilvl w:val="0"/>
          <w:numId w:val="0"/>
        </w:numPr>
        <w:ind w:left="709"/>
      </w:pPr>
      <w:r>
        <w:t>3.</w:t>
      </w:r>
      <w:r>
        <w:tab/>
        <w:t>Prerequisites</w:t>
      </w:r>
    </w:p>
    <w:p w:rsidR="00DA09D1" w:rsidRDefault="00DA09D1" w:rsidP="00DA09D1">
      <w:pPr>
        <w:rPr>
          <w:rFonts w:ascii="Verdana" w:hAnsi="Verdana"/>
        </w:rPr>
      </w:pPr>
      <w:r>
        <w:rPr>
          <w:rFonts w:ascii="Verdana" w:hAnsi="Verdana"/>
        </w:rPr>
        <w:t xml:space="preserve">Outline information required before proceeding with the listed procedure; for example, worksheets, documents, </w:t>
      </w:r>
      <w:proofErr w:type="spellStart"/>
      <w:r>
        <w:rPr>
          <w:rFonts w:ascii="Verdana" w:hAnsi="Verdana"/>
        </w:rPr>
        <w:t>IFAS</w:t>
      </w:r>
      <w:proofErr w:type="spellEnd"/>
      <w:r>
        <w:rPr>
          <w:rFonts w:ascii="Verdana" w:hAnsi="Verdana"/>
        </w:rPr>
        <w:t xml:space="preserve"> reports, etc.  </w:t>
      </w:r>
    </w:p>
    <w:p w:rsidR="00DA09D1" w:rsidRDefault="00DA09D1" w:rsidP="00DA09D1">
      <w:pPr>
        <w:rPr>
          <w:rFonts w:ascii="Verdana" w:hAnsi="Verdana"/>
        </w:rPr>
      </w:pPr>
    </w:p>
    <w:p w:rsidR="00DA09D1" w:rsidRDefault="00DA09D1" w:rsidP="00DA09D1">
      <w:pPr>
        <w:pStyle w:val="Heading2"/>
        <w:numPr>
          <w:ilvl w:val="0"/>
          <w:numId w:val="0"/>
        </w:numPr>
        <w:ind w:left="709"/>
      </w:pPr>
      <w:r>
        <w:t>4.</w:t>
      </w:r>
      <w:r>
        <w:tab/>
        <w:t>Responsibilities</w:t>
      </w:r>
    </w:p>
    <w:p w:rsidR="00DA09D1" w:rsidRDefault="00DA09D1" w:rsidP="00DA09D1">
      <w:pPr>
        <w:rPr>
          <w:rFonts w:ascii="Verdana" w:hAnsi="Verdana"/>
        </w:rPr>
      </w:pPr>
      <w:r>
        <w:rPr>
          <w:rFonts w:ascii="Verdana" w:hAnsi="Verdana"/>
        </w:rPr>
        <w:t xml:space="preserve">Identify the personnel that have a primary role in the SOP and describe how their responsibilities relate to this SOP.  If necessary, include contact information. </w:t>
      </w:r>
    </w:p>
    <w:p w:rsidR="00DA09D1" w:rsidRDefault="00DA09D1" w:rsidP="00DA09D1">
      <w:pPr>
        <w:rPr>
          <w:rFonts w:ascii="Verdana" w:hAnsi="Verdana"/>
        </w:rPr>
      </w:pPr>
    </w:p>
    <w:p w:rsidR="00DA09D1" w:rsidRDefault="00DA09D1" w:rsidP="00DA09D1">
      <w:pPr>
        <w:pStyle w:val="Heading2"/>
        <w:numPr>
          <w:ilvl w:val="0"/>
          <w:numId w:val="0"/>
        </w:numPr>
        <w:ind w:left="709"/>
      </w:pPr>
      <w:r>
        <w:t>5.</w:t>
      </w:r>
      <w:r>
        <w:tab/>
        <w:t>Procedure</w:t>
      </w:r>
    </w:p>
    <w:p w:rsidR="00DA09D1" w:rsidRDefault="00DA09D1" w:rsidP="00DA09D1">
      <w:pPr>
        <w:rPr>
          <w:rFonts w:ascii="Verdana" w:hAnsi="Verdana"/>
        </w:rPr>
      </w:pPr>
      <w:r>
        <w:rPr>
          <w:rFonts w:ascii="Verdana" w:hAnsi="Verdana"/>
        </w:rPr>
        <w:t>Provide the steps required to perform this procedure (who, what, when, where, why, how). Include a process flowchart.</w:t>
      </w:r>
    </w:p>
    <w:p w:rsidR="00DA09D1" w:rsidRDefault="00DA09D1" w:rsidP="00DA09D1">
      <w:pPr>
        <w:rPr>
          <w:rFonts w:ascii="Verdana" w:hAnsi="Verdana"/>
        </w:rPr>
      </w:pPr>
    </w:p>
    <w:p w:rsidR="00DA09D1" w:rsidRDefault="00DA09D1" w:rsidP="00DA09D1">
      <w:pPr>
        <w:pStyle w:val="Heading2"/>
        <w:numPr>
          <w:ilvl w:val="0"/>
          <w:numId w:val="0"/>
        </w:numPr>
        <w:ind w:left="709"/>
      </w:pPr>
      <w:r>
        <w:t>6.</w:t>
      </w:r>
      <w:r>
        <w:tab/>
        <w:t>References</w:t>
      </w:r>
    </w:p>
    <w:p w:rsidR="00DA09D1" w:rsidRDefault="00DA09D1" w:rsidP="00DA09D1">
      <w:pPr>
        <w:rPr>
          <w:rFonts w:ascii="Verdana" w:hAnsi="Verdana"/>
        </w:rPr>
      </w:pPr>
      <w:r>
        <w:rPr>
          <w:rFonts w:ascii="Verdana" w:hAnsi="Verdana"/>
        </w:rPr>
        <w:t xml:space="preserve">List resources that may be useful when performing the procedure; for example, Admin policies, Municipal Code, government standards and other SOPs. </w:t>
      </w:r>
    </w:p>
    <w:p w:rsidR="00DA09D1" w:rsidRDefault="00DA09D1" w:rsidP="00DA09D1">
      <w:pPr>
        <w:rPr>
          <w:rFonts w:ascii="Verdana" w:hAnsi="Verdana"/>
        </w:rPr>
      </w:pPr>
    </w:p>
    <w:p w:rsidR="00DA09D1" w:rsidRDefault="00DA09D1" w:rsidP="00DA09D1">
      <w:pPr>
        <w:pStyle w:val="Heading2"/>
        <w:numPr>
          <w:ilvl w:val="0"/>
          <w:numId w:val="0"/>
        </w:numPr>
        <w:ind w:left="709"/>
      </w:pPr>
      <w:r>
        <w:t xml:space="preserve">7. </w:t>
      </w:r>
      <w:r>
        <w:tab/>
      </w:r>
      <w:bookmarkStart w:id="0" w:name="_GoBack"/>
      <w:bookmarkEnd w:id="0"/>
      <w:r>
        <w:t xml:space="preserve">Definitions </w:t>
      </w:r>
    </w:p>
    <w:p w:rsidR="00DA09D1" w:rsidRDefault="00DA09D1" w:rsidP="00DA09D1">
      <w:pPr>
        <w:rPr>
          <w:rFonts w:ascii="Verdana" w:hAnsi="Verdana"/>
        </w:rPr>
      </w:pPr>
      <w:r>
        <w:rPr>
          <w:rFonts w:ascii="Verdana" w:hAnsi="Verdana"/>
        </w:rPr>
        <w:t>Identify and define frequently used terms or acronyms. Provide additional and/or relevant information needed to understand this SOP.</w:t>
      </w:r>
    </w:p>
    <w:p w:rsidR="00DA09D1" w:rsidRDefault="00DA09D1" w:rsidP="00DA09D1">
      <w:pPr>
        <w:rPr>
          <w:rFonts w:ascii="Arial" w:hAnsi="Arial" w:cs="Arial"/>
          <w:b/>
          <w:sz w:val="18"/>
          <w:szCs w:val="18"/>
        </w:rPr>
      </w:pPr>
    </w:p>
    <w:p w:rsidR="00DA09D1" w:rsidRDefault="00DA09D1" w:rsidP="00DA09D1">
      <w:pPr>
        <w:rPr>
          <w:rFonts w:ascii="Arial" w:hAnsi="Arial" w:cs="Arial"/>
          <w:b/>
          <w:sz w:val="18"/>
          <w:szCs w:val="18"/>
        </w:rPr>
      </w:pPr>
    </w:p>
    <w:p w:rsidR="00DA09D1" w:rsidRDefault="00DA09D1" w:rsidP="00DA09D1">
      <w:pPr>
        <w:rPr>
          <w:rFonts w:ascii="Arial" w:hAnsi="Arial" w:cs="Arial"/>
          <w:b/>
          <w:sz w:val="18"/>
          <w:szCs w:val="18"/>
        </w:rPr>
      </w:pPr>
    </w:p>
    <w:p w:rsidR="00DA09D1" w:rsidRDefault="00DA09D1" w:rsidP="00DA09D1">
      <w:pPr>
        <w:rPr>
          <w:rFonts w:ascii="Arial" w:hAnsi="Arial" w:cs="Arial"/>
          <w:b/>
          <w:sz w:val="18"/>
          <w:szCs w:val="18"/>
        </w:rPr>
      </w:pPr>
    </w:p>
    <w:p w:rsidR="00DF667A" w:rsidRDefault="00DA09D1"/>
    <w:sectPr w:rsidR="00DF66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9D1" w:rsidRDefault="00DA09D1" w:rsidP="00DA09D1">
      <w:pPr>
        <w:spacing w:line="240" w:lineRule="auto"/>
      </w:pPr>
      <w:r>
        <w:separator/>
      </w:r>
    </w:p>
  </w:endnote>
  <w:endnote w:type="continuationSeparator" w:id="0">
    <w:p w:rsidR="00DA09D1" w:rsidRDefault="00DA09D1" w:rsidP="00DA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DA09D1" w:rsidTr="00E8351F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DA09D1" w:rsidRDefault="00DA09D1" w:rsidP="00DA09D1">
          <w:pPr>
            <w:ind w:right="360"/>
          </w:pPr>
          <w:r>
            <w:t>Uncontrolled once printed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DA09D1" w:rsidRDefault="00DA09D1" w:rsidP="00DA09D1">
          <w:pPr>
            <w:jc w:val="center"/>
          </w:pPr>
          <w:r>
            <w:sym w:font="Symbol" w:char="F0D3"/>
          </w:r>
          <w:r>
            <w:t xml:space="preserve">Gulgong Chamber of Commerce, </w:t>
          </w:r>
          <w:r>
            <w:fldChar w:fldCharType="begin"/>
          </w:r>
          <w:r>
            <w:instrText xml:space="preserve"> DATE \@ "yyyy" </w:instrText>
          </w:r>
          <w:r>
            <w:fldChar w:fldCharType="separate"/>
          </w:r>
          <w:r>
            <w:rPr>
              <w:noProof/>
            </w:rPr>
            <w:t>2017</w:t>
          </w:r>
          <w:r>
            <w:fldChar w:fldCharType="end"/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DA09D1" w:rsidRDefault="00DA09D1" w:rsidP="00DA09D1">
          <w:pPr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DA09D1" w:rsidRDefault="00DA0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9D1" w:rsidRDefault="00DA09D1" w:rsidP="00DA09D1">
      <w:pPr>
        <w:spacing w:line="240" w:lineRule="auto"/>
      </w:pPr>
      <w:r>
        <w:separator/>
      </w:r>
    </w:p>
  </w:footnote>
  <w:footnote w:type="continuationSeparator" w:id="0">
    <w:p w:rsidR="00DA09D1" w:rsidRDefault="00DA09D1" w:rsidP="00DA0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 w:firstRow="0" w:lastRow="0" w:firstColumn="0" w:lastColumn="0" w:noHBand="0" w:noVBand="0"/>
    </w:tblPr>
    <w:tblGrid>
      <w:gridCol w:w="2376"/>
      <w:gridCol w:w="2702"/>
      <w:gridCol w:w="1036"/>
      <w:gridCol w:w="1252"/>
      <w:gridCol w:w="1134"/>
      <w:gridCol w:w="723"/>
    </w:tblGrid>
    <w:tr w:rsidR="00DA09D1" w:rsidTr="00E8351F">
      <w:trPr>
        <w:trHeight w:val="360"/>
      </w:trPr>
      <w:tc>
        <w:tcPr>
          <w:tcW w:w="2376" w:type="dxa"/>
          <w:vMerge w:val="restart"/>
          <w:vAlign w:val="center"/>
        </w:tcPr>
        <w:p w:rsidR="00DA09D1" w:rsidRDefault="00DA09D1" w:rsidP="00DA09D1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bookmarkStart w:id="1" w:name="_Hlk487307229"/>
          <w:r w:rsidRPr="006D00CF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ABFA02C" wp14:editId="0470AE4D">
                <wp:extent cx="1363345" cy="9823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34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2" w:type="dxa"/>
          <w:vMerge w:val="restart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b/>
              <w:bCs/>
              <w:sz w:val="28"/>
              <w:szCs w:val="28"/>
              <w:u w:val="single"/>
            </w:rPr>
          </w:pPr>
          <w:r w:rsidRPr="00D458B2">
            <w:rPr>
              <w:rFonts w:ascii="Arial" w:hAnsi="Arial" w:cs="Arial"/>
              <w:b/>
              <w:bCs/>
              <w:sz w:val="28"/>
              <w:szCs w:val="28"/>
              <w:u w:val="single"/>
            </w:rPr>
            <w:t>S</w:t>
          </w:r>
          <w:r>
            <w:rPr>
              <w:rFonts w:ascii="Arial" w:hAnsi="Arial" w:cs="Arial"/>
              <w:b/>
              <w:bCs/>
              <w:sz w:val="28"/>
              <w:szCs w:val="28"/>
              <w:u w:val="single"/>
            </w:rPr>
            <w:t>TANDARD</w:t>
          </w:r>
        </w:p>
        <w:p w:rsidR="00DA09D1" w:rsidRPr="00D458B2" w:rsidRDefault="00DA09D1" w:rsidP="00DA09D1">
          <w:pPr>
            <w:pStyle w:val="Header"/>
            <w:rPr>
              <w:rFonts w:ascii="Arial" w:hAnsi="Arial" w:cs="Arial"/>
              <w:b/>
              <w:bCs/>
              <w:sz w:val="28"/>
              <w:szCs w:val="28"/>
              <w:u w:val="single"/>
            </w:rPr>
          </w:pPr>
          <w:r w:rsidRPr="00D458B2">
            <w:rPr>
              <w:rFonts w:ascii="Arial" w:hAnsi="Arial" w:cs="Arial"/>
              <w:b/>
              <w:bCs/>
              <w:sz w:val="28"/>
              <w:szCs w:val="28"/>
              <w:u w:val="single"/>
            </w:rPr>
            <w:t>OPERATING PROCEDURE</w:t>
          </w:r>
        </w:p>
        <w:p w:rsidR="00DA09D1" w:rsidRDefault="00DA09D1" w:rsidP="00DA09D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036" w:type="dxa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Temp ID:</w:t>
          </w:r>
        </w:p>
      </w:tc>
      <w:tc>
        <w:tcPr>
          <w:tcW w:w="1252" w:type="dxa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GCOC-SOP</w:t>
          </w:r>
        </w:p>
      </w:tc>
      <w:tc>
        <w:tcPr>
          <w:tcW w:w="1134" w:type="dxa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Template</w:t>
          </w:r>
        </w:p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 No:</w:t>
          </w:r>
        </w:p>
      </w:tc>
      <w:tc>
        <w:tcPr>
          <w:tcW w:w="723" w:type="dxa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</w:tr>
    <w:bookmarkEnd w:id="1"/>
    <w:tr w:rsidR="00DA09D1" w:rsidTr="00E8351F">
      <w:trPr>
        <w:trHeight w:val="360"/>
      </w:trPr>
      <w:tc>
        <w:tcPr>
          <w:tcW w:w="2376" w:type="dxa"/>
          <w:vMerge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2" w:type="dxa"/>
          <w:vMerge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88" w:type="dxa"/>
          <w:gridSpan w:val="2"/>
          <w:vAlign w:val="center"/>
        </w:tcPr>
        <w:p w:rsidR="00DA09D1" w:rsidRPr="00B22C4F" w:rsidRDefault="00DA09D1" w:rsidP="00DA09D1">
          <w:pPr>
            <w:pStyle w:val="Header"/>
            <w:rPr>
              <w:rFonts w:ascii="Arial" w:hAnsi="Arial" w:cs="Arial"/>
              <w:b/>
              <w:bCs/>
              <w:sz w:val="22"/>
              <w:szCs w:val="22"/>
              <w:u w:val="single"/>
            </w:rPr>
          </w:pPr>
          <w:r w:rsidRPr="00B22C4F">
            <w:rPr>
              <w:rFonts w:ascii="Arial" w:hAnsi="Arial" w:cs="Arial"/>
              <w:b/>
              <w:bCs/>
              <w:sz w:val="22"/>
              <w:szCs w:val="22"/>
              <w:u w:val="single"/>
            </w:rPr>
            <w:t>SOP Number:</w:t>
          </w:r>
        </w:p>
      </w:tc>
      <w:tc>
        <w:tcPr>
          <w:tcW w:w="1857" w:type="dxa"/>
          <w:gridSpan w:val="2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DA09D1" w:rsidTr="00E8351F">
      <w:trPr>
        <w:trHeight w:val="405"/>
      </w:trPr>
      <w:tc>
        <w:tcPr>
          <w:tcW w:w="2376" w:type="dxa"/>
          <w:vMerge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2" w:type="dxa"/>
          <w:vMerge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88" w:type="dxa"/>
          <w:gridSpan w:val="2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Implementation Date</w:t>
          </w:r>
        </w:p>
      </w:tc>
      <w:tc>
        <w:tcPr>
          <w:tcW w:w="1857" w:type="dxa"/>
          <w:gridSpan w:val="2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DA09D1" w:rsidTr="00E8351F">
      <w:trPr>
        <w:trHeight w:val="405"/>
      </w:trPr>
      <w:tc>
        <w:tcPr>
          <w:tcW w:w="2376" w:type="dxa"/>
          <w:vMerge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2" w:type="dxa"/>
          <w:vMerge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88" w:type="dxa"/>
          <w:gridSpan w:val="2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Last Review Date</w:t>
          </w:r>
        </w:p>
      </w:tc>
      <w:tc>
        <w:tcPr>
          <w:tcW w:w="1857" w:type="dxa"/>
          <w:gridSpan w:val="2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A09D1" w:rsidTr="00E8351F">
      <w:trPr>
        <w:trHeight w:val="360"/>
      </w:trPr>
      <w:tc>
        <w:tcPr>
          <w:tcW w:w="2376" w:type="dxa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Reviewed By:</w:t>
          </w:r>
        </w:p>
      </w:tc>
      <w:tc>
        <w:tcPr>
          <w:tcW w:w="2702" w:type="dxa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Governance Committee</w:t>
          </w:r>
        </w:p>
      </w:tc>
      <w:tc>
        <w:tcPr>
          <w:tcW w:w="2288" w:type="dxa"/>
          <w:gridSpan w:val="2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Next Review Due</w:t>
          </w:r>
        </w:p>
      </w:tc>
      <w:tc>
        <w:tcPr>
          <w:tcW w:w="1857" w:type="dxa"/>
          <w:gridSpan w:val="2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DA09D1" w:rsidTr="00E8351F">
      <w:trPr>
        <w:trHeight w:val="360"/>
      </w:trPr>
      <w:tc>
        <w:tcPr>
          <w:tcW w:w="2376" w:type="dxa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Approval:</w:t>
          </w:r>
        </w:p>
      </w:tc>
      <w:tc>
        <w:tcPr>
          <w:tcW w:w="2702" w:type="dxa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Chamber Executive</w:t>
          </w:r>
        </w:p>
      </w:tc>
      <w:tc>
        <w:tcPr>
          <w:tcW w:w="4145" w:type="dxa"/>
          <w:gridSpan w:val="4"/>
          <w:vAlign w:val="center"/>
        </w:tcPr>
        <w:p w:rsidR="00DA09D1" w:rsidRDefault="00DA09D1" w:rsidP="00DA09D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Signed:</w:t>
          </w:r>
        </w:p>
      </w:tc>
    </w:tr>
  </w:tbl>
  <w:p w:rsidR="00DA09D1" w:rsidRDefault="00DA0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4C64CA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1E2819"/>
    <w:multiLevelType w:val="multilevel"/>
    <w:tmpl w:val="23189C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63528C0"/>
    <w:multiLevelType w:val="multilevel"/>
    <w:tmpl w:val="3FB800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D1"/>
    <w:rsid w:val="00DA09D1"/>
    <w:rsid w:val="00DA4455"/>
    <w:rsid w:val="00E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D5C5A-9A7B-4576-A430-ED561633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9D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DA09D1"/>
    <w:pPr>
      <w:keepNext/>
      <w:spacing w:before="120" w:after="60"/>
      <w:ind w:left="360"/>
      <w:outlineLvl w:val="0"/>
    </w:pPr>
    <w:rPr>
      <w:rFonts w:ascii="Arial" w:hAnsi="Arial"/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qFormat/>
    <w:rsid w:val="00DA09D1"/>
    <w:pPr>
      <w:numPr>
        <w:ilvl w:val="1"/>
        <w:numId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DA09D1"/>
    <w:pPr>
      <w:numPr>
        <w:ilvl w:val="2"/>
        <w:numId w:val="1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DA09D1"/>
    <w:pPr>
      <w:numPr>
        <w:ilvl w:val="3"/>
        <w:numId w:val="1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DA09D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DA09D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A09D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A09D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A09D1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09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A09D1"/>
  </w:style>
  <w:style w:type="paragraph" w:styleId="Footer">
    <w:name w:val="footer"/>
    <w:basedOn w:val="Normal"/>
    <w:link w:val="FooterChar"/>
    <w:uiPriority w:val="99"/>
    <w:unhideWhenUsed/>
    <w:rsid w:val="00DA09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D1"/>
  </w:style>
  <w:style w:type="character" w:styleId="PageNumber">
    <w:name w:val="page number"/>
    <w:basedOn w:val="DefaultParagraphFont"/>
    <w:semiHidden/>
    <w:rsid w:val="00DA09D1"/>
  </w:style>
  <w:style w:type="character" w:customStyle="1" w:styleId="Heading1Char">
    <w:name w:val="Heading 1 Char"/>
    <w:basedOn w:val="DefaultParagraphFont"/>
    <w:link w:val="Heading1"/>
    <w:rsid w:val="00DA09D1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A09D1"/>
    <w:rPr>
      <w:rFonts w:ascii="Arial" w:eastAsia="Times New Roman" w:hAnsi="Arial" w:cs="Times New Roman"/>
      <w:b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A09D1"/>
    <w:rPr>
      <w:rFonts w:ascii="Arial" w:eastAsia="Times New Roman" w:hAnsi="Arial" w:cs="Times New Roman"/>
      <w:i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A09D1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A09D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A09D1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DA09D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A09D1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DA09D1"/>
    <w:rPr>
      <w:rFonts w:ascii="Times New Roman" w:eastAsia="Times New Roman" w:hAnsi="Times New Roman" w:cs="Times New Roman"/>
      <w:b/>
      <w:i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Standard Operating Procedure Title</vt:lpstr>
      <vt:lpstr>    1.	Purpose</vt:lpstr>
      <vt:lpstr>    2.	Scope</vt:lpstr>
      <vt:lpstr>    3.	Prerequisites</vt:lpstr>
      <vt:lpstr>    4.	Responsibilities</vt:lpstr>
      <vt:lpstr>    5.	Procedure</vt:lpstr>
      <vt:lpstr>    6.	References</vt:lpstr>
      <vt:lpstr>    7. 	Definitions 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Fookes</dc:creator>
  <cp:keywords/>
  <dc:description/>
  <cp:lastModifiedBy>Paul Fookes</cp:lastModifiedBy>
  <cp:revision>1</cp:revision>
  <dcterms:created xsi:type="dcterms:W3CDTF">2017-07-12T13:15:00Z</dcterms:created>
  <dcterms:modified xsi:type="dcterms:W3CDTF">2017-07-12T13:22:00Z</dcterms:modified>
</cp:coreProperties>
</file>